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594D" w14:textId="77777777" w:rsidR="009124C0" w:rsidRPr="00990766" w:rsidRDefault="009124C0"/>
    <w:p w14:paraId="2C01DAD3" w14:textId="77777777" w:rsidR="0056679B" w:rsidRPr="00990766" w:rsidRDefault="0056679B"/>
    <w:p w14:paraId="607857E7" w14:textId="35DECB34" w:rsidR="0056679B" w:rsidRPr="00990766" w:rsidRDefault="0033198D" w:rsidP="0056679B">
      <w:pPr>
        <w:jc w:val="center"/>
        <w:rPr>
          <w:i/>
          <w:iCs/>
        </w:rPr>
      </w:pPr>
      <w:r w:rsidRPr="00990766">
        <w:rPr>
          <w:i/>
          <w:iCs/>
        </w:rPr>
        <w:t>Press release</w:t>
      </w:r>
      <w:r w:rsidR="00C414C6" w:rsidRPr="00990766">
        <w:rPr>
          <w:i/>
          <w:iCs/>
        </w:rPr>
        <w:t xml:space="preserve"> n</w:t>
      </w:r>
      <w:r w:rsidRPr="00990766">
        <w:rPr>
          <w:i/>
          <w:iCs/>
        </w:rPr>
        <w:t>o.</w:t>
      </w:r>
      <w:r w:rsidR="00C414C6" w:rsidRPr="00990766">
        <w:rPr>
          <w:i/>
          <w:iCs/>
        </w:rPr>
        <w:t xml:space="preserve"> </w:t>
      </w:r>
      <w:r w:rsidR="0056679B" w:rsidRPr="00990766">
        <w:rPr>
          <w:i/>
          <w:iCs/>
        </w:rPr>
        <w:t>11</w:t>
      </w:r>
      <w:r w:rsidR="002F57E0" w:rsidRPr="00990766">
        <w:rPr>
          <w:i/>
          <w:iCs/>
        </w:rPr>
        <w:t xml:space="preserve"> </w:t>
      </w:r>
    </w:p>
    <w:p w14:paraId="03D1135C" w14:textId="77777777" w:rsidR="0056679B" w:rsidRPr="00990766" w:rsidRDefault="0056679B" w:rsidP="0056679B">
      <w:pPr>
        <w:jc w:val="center"/>
      </w:pPr>
    </w:p>
    <w:p w14:paraId="06E06D1E" w14:textId="4DDA45AA" w:rsidR="0056679B" w:rsidRPr="00990766" w:rsidRDefault="0056679B" w:rsidP="0056679B">
      <w:pPr>
        <w:jc w:val="center"/>
      </w:pPr>
      <w:r w:rsidRPr="00990766">
        <w:rPr>
          <w:b/>
          <w:bCs/>
          <w:sz w:val="28"/>
          <w:szCs w:val="28"/>
        </w:rPr>
        <w:t>SIGEP WORLD 2026</w:t>
      </w:r>
      <w:r w:rsidR="0033198D" w:rsidRPr="00990766">
        <w:rPr>
          <w:b/>
          <w:bCs/>
          <w:sz w:val="28"/>
          <w:szCs w:val="28"/>
        </w:rPr>
        <w:t xml:space="preserve"> LAYOUT</w:t>
      </w:r>
    </w:p>
    <w:p w14:paraId="692BE94A" w14:textId="77777777" w:rsidR="0056679B" w:rsidRPr="00990766" w:rsidRDefault="0056679B"/>
    <w:p w14:paraId="58583097" w14:textId="77777777" w:rsidR="0056679B" w:rsidRPr="00990766" w:rsidRDefault="0056679B"/>
    <w:p w14:paraId="646C6E82" w14:textId="22029BE7" w:rsidR="009124C0" w:rsidRPr="00990766" w:rsidRDefault="009124C0" w:rsidP="009124C0">
      <w:pPr>
        <w:jc w:val="both"/>
      </w:pPr>
      <w:r w:rsidRPr="00990766">
        <w:rPr>
          <w:i/>
        </w:rPr>
        <w:t>Rimini,</w:t>
      </w:r>
      <w:r w:rsidRPr="00990766">
        <w:rPr>
          <w:i/>
          <w:spacing w:val="1"/>
        </w:rPr>
        <w:t xml:space="preserve"> </w:t>
      </w:r>
      <w:r w:rsidR="002F57E0" w:rsidRPr="00990766">
        <w:rPr>
          <w:i/>
          <w:spacing w:val="1"/>
        </w:rPr>
        <w:t>22</w:t>
      </w:r>
      <w:r w:rsidRPr="00990766">
        <w:rPr>
          <w:i/>
        </w:rPr>
        <w:t xml:space="preserve"> </w:t>
      </w:r>
      <w:r w:rsidR="0033198D" w:rsidRPr="00990766">
        <w:rPr>
          <w:i/>
        </w:rPr>
        <w:t>December</w:t>
      </w:r>
      <w:r w:rsidRPr="00990766">
        <w:rPr>
          <w:i/>
        </w:rPr>
        <w:t xml:space="preserve"> 2025 –</w:t>
      </w:r>
      <w:r w:rsidR="0033198D" w:rsidRPr="00990766">
        <w:t xml:space="preserve"> </w:t>
      </w:r>
      <w:r w:rsidR="0033198D" w:rsidRPr="00990766">
        <w:rPr>
          <w:color w:val="000000"/>
        </w:rPr>
        <w:t xml:space="preserve">The layout of </w:t>
      </w:r>
      <w:r w:rsidR="0033198D" w:rsidRPr="00990766">
        <w:rPr>
          <w:b/>
          <w:bCs/>
          <w:color w:val="000000"/>
        </w:rPr>
        <w:t>SIGEP World</w:t>
      </w:r>
      <w:r w:rsidR="0033198D" w:rsidRPr="00990766">
        <w:rPr>
          <w:color w:val="000000"/>
        </w:rPr>
        <w:t xml:space="preserve"> (Rimini Expo Centre, Friday 16 – Tuesday 20 January 2026) reflects the event’s key sectors: gelato, pastry, chocolate, bakery, pizza, and coffee, spanning an impressive </w:t>
      </w:r>
      <w:r w:rsidR="0033198D" w:rsidRPr="00990766">
        <w:rPr>
          <w:b/>
          <w:bCs/>
          <w:color w:val="000000"/>
        </w:rPr>
        <w:t>138,000 m</w:t>
      </w:r>
      <w:r w:rsidR="0033198D" w:rsidRPr="00990766">
        <w:rPr>
          <w:b/>
          <w:bCs/>
          <w:color w:val="000000"/>
          <w:vertAlign w:val="superscript"/>
        </w:rPr>
        <w:t>2</w:t>
      </w:r>
      <w:r w:rsidR="0033198D" w:rsidRPr="00990766">
        <w:rPr>
          <w:color w:val="000000"/>
        </w:rPr>
        <w:t xml:space="preserve"> of exhibition space. The design features </w:t>
      </w:r>
      <w:r w:rsidR="0033198D" w:rsidRPr="00990766">
        <w:rPr>
          <w:b/>
          <w:bCs/>
          <w:color w:val="000000"/>
        </w:rPr>
        <w:t>clear, dynamic pathways</w:t>
      </w:r>
      <w:r w:rsidR="0033198D" w:rsidRPr="00990766">
        <w:rPr>
          <w:color w:val="000000"/>
        </w:rPr>
        <w:t xml:space="preserve"> leading to themed arenas and interactive areas, fostering discussion, networking, and new business opportunities.</w:t>
      </w:r>
    </w:p>
    <w:p w14:paraId="320E3326" w14:textId="77777777" w:rsidR="009124C0" w:rsidRPr="00990766" w:rsidRDefault="009124C0" w:rsidP="009124C0">
      <w:pPr>
        <w:jc w:val="both"/>
      </w:pPr>
    </w:p>
    <w:p w14:paraId="0600C4C0" w14:textId="77777777" w:rsidR="009124C0" w:rsidRPr="00990766" w:rsidRDefault="009124C0" w:rsidP="009124C0">
      <w:pPr>
        <w:jc w:val="both"/>
      </w:pPr>
    </w:p>
    <w:p w14:paraId="4B5AD8DE" w14:textId="77777777" w:rsidR="009124C0" w:rsidRPr="00990766" w:rsidRDefault="009124C0"/>
    <w:p w14:paraId="6D0F247B" w14:textId="1C015395" w:rsidR="009124C0" w:rsidRPr="00990766" w:rsidRDefault="009124C0">
      <w:r w:rsidRPr="00990766">
        <w:rPr>
          <w:noProof/>
          <w14:ligatures w14:val="standardContextual"/>
        </w:rPr>
        <w:drawing>
          <wp:inline distT="0" distB="0" distL="0" distR="0" wp14:anchorId="79F03977" wp14:editId="4EEF547F">
            <wp:extent cx="6120130" cy="3761105"/>
            <wp:effectExtent l="0" t="0" r="0" b="0"/>
            <wp:docPr id="1767063549" name="Immagine 1" descr="Immagine che contiene schermata, testo, quadr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63549" name="Immagine 1" descr="Immagine che contiene schermata, testo, quadrat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3761105"/>
                    </a:xfrm>
                    <a:prstGeom prst="rect">
                      <a:avLst/>
                    </a:prstGeom>
                  </pic:spPr>
                </pic:pic>
              </a:graphicData>
            </a:graphic>
          </wp:inline>
        </w:drawing>
      </w:r>
    </w:p>
    <w:p w14:paraId="4A22F31C" w14:textId="77777777" w:rsidR="009124C0" w:rsidRPr="00990766" w:rsidRDefault="009124C0"/>
    <w:p w14:paraId="6D5FBDB9" w14:textId="32CAEEBD" w:rsidR="0033198D" w:rsidRPr="00990766" w:rsidRDefault="0033198D" w:rsidP="009124C0">
      <w:pPr>
        <w:jc w:val="both"/>
      </w:pPr>
      <w:r w:rsidRPr="00990766">
        <w:t xml:space="preserve">At the heart of the Italian Exhibition Group’s exhibition centre, in the </w:t>
      </w:r>
      <w:r w:rsidRPr="00990766">
        <w:rPr>
          <w:b/>
          <w:bCs/>
        </w:rPr>
        <w:t>South Hall</w:t>
      </w:r>
      <w:r w:rsidRPr="00990766">
        <w:t xml:space="preserve">, is </w:t>
      </w:r>
      <w:r w:rsidRPr="00990766">
        <w:rPr>
          <w:b/>
          <w:bCs/>
        </w:rPr>
        <w:t>Vision Plaza</w:t>
      </w:r>
      <w:r w:rsidRPr="00990766">
        <w:t xml:space="preserve">, the fair’s premier training venue. It hosts internationally renowned talks and panel discussions led by industry experts and opinion leaders, alongside the </w:t>
      </w:r>
      <w:r w:rsidRPr="00990766">
        <w:rPr>
          <w:b/>
          <w:bCs/>
        </w:rPr>
        <w:t>International Buyers Lounge</w:t>
      </w:r>
      <w:r w:rsidRPr="00990766">
        <w:t>.</w:t>
      </w:r>
    </w:p>
    <w:p w14:paraId="78859EB9" w14:textId="77777777" w:rsidR="0033198D" w:rsidRPr="00990766" w:rsidRDefault="0033198D" w:rsidP="009124C0">
      <w:pPr>
        <w:jc w:val="both"/>
      </w:pPr>
      <w:r w:rsidRPr="00990766">
        <w:t xml:space="preserve">The </w:t>
      </w:r>
      <w:r w:rsidRPr="00990766">
        <w:rPr>
          <w:b/>
          <w:bCs/>
        </w:rPr>
        <w:t>Rimini Fiera halls</w:t>
      </w:r>
      <w:r w:rsidRPr="00990766">
        <w:t xml:space="preserve"> will showcase leading companies across the ingredients, products, technologies, furnishings, packaging, decorations, and services sectors for </w:t>
      </w:r>
      <w:r w:rsidRPr="00990766">
        <w:rPr>
          <w:b/>
          <w:bCs/>
        </w:rPr>
        <w:t>gelato, pastry, chocolate, coffee, bakery, and pizza</w:t>
      </w:r>
      <w:r w:rsidRPr="00990766">
        <w:t xml:space="preserve">. </w:t>
      </w:r>
    </w:p>
    <w:p w14:paraId="29BC759F" w14:textId="77777777" w:rsidR="0033198D" w:rsidRPr="00990766" w:rsidRDefault="0033198D" w:rsidP="009124C0">
      <w:pPr>
        <w:jc w:val="both"/>
      </w:pPr>
    </w:p>
    <w:p w14:paraId="19A350F5" w14:textId="77777777" w:rsidR="0033198D" w:rsidRPr="00990766" w:rsidRDefault="0033198D" w:rsidP="009124C0">
      <w:pPr>
        <w:jc w:val="both"/>
      </w:pPr>
    </w:p>
    <w:p w14:paraId="3931C327" w14:textId="77777777" w:rsidR="0033198D" w:rsidRPr="00990766" w:rsidRDefault="0033198D" w:rsidP="009124C0">
      <w:pPr>
        <w:jc w:val="both"/>
      </w:pPr>
    </w:p>
    <w:p w14:paraId="58081203" w14:textId="77777777" w:rsidR="0033198D" w:rsidRPr="00990766" w:rsidRDefault="0033198D" w:rsidP="009124C0">
      <w:pPr>
        <w:jc w:val="both"/>
      </w:pPr>
    </w:p>
    <w:p w14:paraId="6AA811B9" w14:textId="77777777" w:rsidR="0033198D" w:rsidRPr="00990766" w:rsidRDefault="0033198D" w:rsidP="009124C0">
      <w:pPr>
        <w:jc w:val="both"/>
      </w:pPr>
    </w:p>
    <w:p w14:paraId="05E8BB6F" w14:textId="77777777" w:rsidR="0033198D" w:rsidRPr="00990766" w:rsidRDefault="0033198D" w:rsidP="009124C0">
      <w:pPr>
        <w:jc w:val="both"/>
      </w:pPr>
    </w:p>
    <w:p w14:paraId="48ADA772" w14:textId="4CBCE6A2" w:rsidR="0033198D" w:rsidRPr="00990766" w:rsidRDefault="0033198D" w:rsidP="009124C0">
      <w:pPr>
        <w:jc w:val="both"/>
      </w:pPr>
      <w:r w:rsidRPr="00990766">
        <w:t>Hall allocation is as follows:</w:t>
      </w:r>
    </w:p>
    <w:p w14:paraId="503BE66B" w14:textId="77777777" w:rsidR="0033198D" w:rsidRPr="00990766" w:rsidRDefault="0033198D" w:rsidP="009124C0">
      <w:pPr>
        <w:jc w:val="both"/>
      </w:pPr>
    </w:p>
    <w:p w14:paraId="512137AF" w14:textId="40BA3DB6" w:rsidR="0033198D" w:rsidRPr="00990766" w:rsidRDefault="0033198D" w:rsidP="0033198D">
      <w:pPr>
        <w:pStyle w:val="Paragrafoelenco"/>
        <w:numPr>
          <w:ilvl w:val="0"/>
          <w:numId w:val="3"/>
        </w:numPr>
        <w:jc w:val="both"/>
        <w:rPr>
          <w:rFonts w:ascii="Calibri" w:hAnsi="Calibri" w:cs="Calibri"/>
          <w:sz w:val="22"/>
          <w:szCs w:val="22"/>
        </w:rPr>
      </w:pPr>
      <w:r w:rsidRPr="00990766">
        <w:rPr>
          <w:rFonts w:ascii="Calibri" w:hAnsi="Calibri" w:cs="Calibri"/>
          <w:b/>
          <w:bCs/>
          <w:sz w:val="22"/>
          <w:szCs w:val="22"/>
        </w:rPr>
        <w:t>Gelato:</w:t>
      </w:r>
      <w:r w:rsidRPr="00990766">
        <w:rPr>
          <w:rFonts w:ascii="Calibri" w:hAnsi="Calibri" w:cs="Calibri"/>
          <w:sz w:val="22"/>
          <w:szCs w:val="22"/>
        </w:rPr>
        <w:t xml:space="preserve"> 12 halls (A3–A7 and C1–C7)</w:t>
      </w:r>
    </w:p>
    <w:p w14:paraId="02621E61" w14:textId="070187BC" w:rsidR="0033198D" w:rsidRPr="00990766" w:rsidRDefault="0033198D" w:rsidP="0033198D">
      <w:pPr>
        <w:pStyle w:val="Paragrafoelenco"/>
        <w:numPr>
          <w:ilvl w:val="0"/>
          <w:numId w:val="3"/>
        </w:numPr>
        <w:jc w:val="both"/>
        <w:rPr>
          <w:rFonts w:ascii="Calibri" w:hAnsi="Calibri" w:cs="Calibri"/>
          <w:sz w:val="22"/>
          <w:szCs w:val="22"/>
        </w:rPr>
      </w:pPr>
      <w:r w:rsidRPr="00990766">
        <w:rPr>
          <w:rFonts w:ascii="Calibri" w:hAnsi="Calibri" w:cs="Calibri"/>
          <w:b/>
          <w:bCs/>
          <w:sz w:val="22"/>
          <w:szCs w:val="22"/>
        </w:rPr>
        <w:t>Coffee:</w:t>
      </w:r>
      <w:r w:rsidRPr="00990766">
        <w:rPr>
          <w:rFonts w:ascii="Calibri" w:hAnsi="Calibri" w:cs="Calibri"/>
          <w:sz w:val="22"/>
          <w:szCs w:val="22"/>
        </w:rPr>
        <w:t xml:space="preserve"> 4 halls (A1, A2, B1, D1)</w:t>
      </w:r>
    </w:p>
    <w:p w14:paraId="09340EA3" w14:textId="64C1D6AD" w:rsidR="0033198D" w:rsidRPr="00990766" w:rsidRDefault="0033198D" w:rsidP="0033198D">
      <w:pPr>
        <w:pStyle w:val="Paragrafoelenco"/>
        <w:numPr>
          <w:ilvl w:val="0"/>
          <w:numId w:val="3"/>
        </w:numPr>
        <w:jc w:val="both"/>
        <w:rPr>
          <w:rFonts w:ascii="Calibri" w:hAnsi="Calibri" w:cs="Calibri"/>
          <w:sz w:val="22"/>
          <w:szCs w:val="22"/>
        </w:rPr>
      </w:pPr>
      <w:r w:rsidRPr="00990766">
        <w:rPr>
          <w:rFonts w:ascii="Calibri" w:hAnsi="Calibri" w:cs="Calibri"/>
          <w:b/>
          <w:bCs/>
          <w:sz w:val="22"/>
          <w:szCs w:val="22"/>
        </w:rPr>
        <w:t>Pastry &amp; chocolate:</w:t>
      </w:r>
      <w:r w:rsidRPr="00990766">
        <w:rPr>
          <w:rFonts w:ascii="Calibri" w:hAnsi="Calibri" w:cs="Calibri"/>
          <w:sz w:val="22"/>
          <w:szCs w:val="22"/>
        </w:rPr>
        <w:t xml:space="preserve"> 11 halls (D2–D7 and B7–B2)</w:t>
      </w:r>
    </w:p>
    <w:p w14:paraId="0E69DA6A" w14:textId="72625FAE" w:rsidR="0033198D" w:rsidRPr="00990766" w:rsidRDefault="0033198D" w:rsidP="009124C0">
      <w:pPr>
        <w:pStyle w:val="Paragrafoelenco"/>
        <w:numPr>
          <w:ilvl w:val="0"/>
          <w:numId w:val="3"/>
        </w:numPr>
        <w:jc w:val="both"/>
        <w:rPr>
          <w:rFonts w:ascii="Calibri" w:hAnsi="Calibri" w:cs="Calibri"/>
          <w:sz w:val="22"/>
          <w:szCs w:val="22"/>
        </w:rPr>
      </w:pPr>
      <w:r w:rsidRPr="00990766">
        <w:rPr>
          <w:rFonts w:ascii="Calibri" w:hAnsi="Calibri" w:cs="Calibri"/>
          <w:b/>
          <w:bCs/>
          <w:sz w:val="22"/>
          <w:szCs w:val="22"/>
        </w:rPr>
        <w:t>Bakery &amp; pizza:</w:t>
      </w:r>
      <w:r w:rsidRPr="00990766">
        <w:rPr>
          <w:rFonts w:ascii="Calibri" w:hAnsi="Calibri" w:cs="Calibri"/>
          <w:sz w:val="22"/>
          <w:szCs w:val="22"/>
        </w:rPr>
        <w:t xml:space="preserve"> halls D8 and B8 (opened last year with an additional 8,000 m²), with a dedicated focus on </w:t>
      </w:r>
      <w:r w:rsidRPr="00990766">
        <w:rPr>
          <w:rFonts w:ascii="Calibri" w:hAnsi="Calibri" w:cs="Calibri"/>
          <w:b/>
          <w:bCs/>
          <w:sz w:val="22"/>
          <w:szCs w:val="22"/>
        </w:rPr>
        <w:t>technology in D7</w:t>
      </w:r>
      <w:r w:rsidRPr="00990766">
        <w:rPr>
          <w:rFonts w:ascii="Calibri" w:hAnsi="Calibri" w:cs="Calibri"/>
          <w:sz w:val="22"/>
          <w:szCs w:val="22"/>
        </w:rPr>
        <w:t xml:space="preserve"> and </w:t>
      </w:r>
      <w:r w:rsidRPr="00990766">
        <w:rPr>
          <w:rFonts w:ascii="Calibri" w:hAnsi="Calibri" w:cs="Calibri"/>
          <w:b/>
          <w:bCs/>
          <w:sz w:val="22"/>
          <w:szCs w:val="22"/>
        </w:rPr>
        <w:t>pizza in D6</w:t>
      </w:r>
    </w:p>
    <w:p w14:paraId="5589C1BE" w14:textId="77777777" w:rsidR="00CC0E17" w:rsidRPr="00990766" w:rsidRDefault="00CC0E17" w:rsidP="009124C0">
      <w:pPr>
        <w:jc w:val="both"/>
      </w:pPr>
    </w:p>
    <w:p w14:paraId="35A9CCB6" w14:textId="684A28D9" w:rsidR="0033198D" w:rsidRPr="00990766" w:rsidRDefault="0033198D" w:rsidP="009124C0">
      <w:pPr>
        <w:jc w:val="both"/>
      </w:pPr>
      <w:r w:rsidRPr="00990766">
        <w:t xml:space="preserve">Among the new projects, the </w:t>
      </w:r>
      <w:r w:rsidRPr="00990766">
        <w:rPr>
          <w:b/>
          <w:bCs/>
        </w:rPr>
        <w:t>Kitchen Equipment Hub</w:t>
      </w:r>
      <w:r w:rsidRPr="00990766">
        <w:t xml:space="preserve">, located between </w:t>
      </w:r>
      <w:r w:rsidRPr="00990766">
        <w:rPr>
          <w:b/>
          <w:bCs/>
        </w:rPr>
        <w:t>D1 and D4</w:t>
      </w:r>
      <w:r w:rsidRPr="00990766">
        <w:t xml:space="preserve">, has been created in collaboration with </w:t>
      </w:r>
      <w:r w:rsidRPr="00990766">
        <w:rPr>
          <w:b/>
          <w:bCs/>
        </w:rPr>
        <w:t>ANIMA Confindustria</w:t>
      </w:r>
      <w:r w:rsidRPr="00990766">
        <w:t xml:space="preserve"> and </w:t>
      </w:r>
      <w:r w:rsidRPr="00990766">
        <w:rPr>
          <w:b/>
          <w:bCs/>
        </w:rPr>
        <w:t>EFCEM Italia</w:t>
      </w:r>
      <w:r w:rsidRPr="00990766">
        <w:t xml:space="preserve"> (part of APPLIA Italia), showcasing excellence in professional foodservice equipment. It features technologies for hot and cold applications, including washing systems, planetary mixers, steel tables, and utensils. The </w:t>
      </w:r>
      <w:r w:rsidRPr="00990766">
        <w:rPr>
          <w:b/>
          <w:bCs/>
        </w:rPr>
        <w:t>Frozen Product Hub</w:t>
      </w:r>
      <w:r w:rsidRPr="00990766">
        <w:t xml:space="preserve">, dedicated to innovative frozen ingredients and processing for bakery and pastry, will be in </w:t>
      </w:r>
      <w:r w:rsidRPr="00990766">
        <w:rPr>
          <w:b/>
          <w:bCs/>
        </w:rPr>
        <w:t>Hall B7</w:t>
      </w:r>
      <w:r w:rsidRPr="00990766">
        <w:t xml:space="preserve">, while the </w:t>
      </w:r>
      <w:r w:rsidRPr="00990766">
        <w:rPr>
          <w:b/>
          <w:bCs/>
        </w:rPr>
        <w:t>Digital District</w:t>
      </w:r>
      <w:r w:rsidRPr="00990766">
        <w:t xml:space="preserve">, located between </w:t>
      </w:r>
      <w:r w:rsidRPr="00990766">
        <w:rPr>
          <w:b/>
          <w:bCs/>
        </w:rPr>
        <w:t>A2 and A4</w:t>
      </w:r>
      <w:r w:rsidRPr="00990766">
        <w:t>, will highlight digital innovations driving growth in the Ho.re.ca sector.</w:t>
      </w:r>
    </w:p>
    <w:p w14:paraId="38C62DBB" w14:textId="30BB81DA" w:rsidR="0033198D" w:rsidRPr="0033198D" w:rsidRDefault="0033198D" w:rsidP="0033198D">
      <w:pPr>
        <w:jc w:val="both"/>
      </w:pPr>
      <w:r w:rsidRPr="00990766">
        <w:t>Hall</w:t>
      </w:r>
      <w:r w:rsidRPr="0033198D">
        <w:t xml:space="preserve"> B1 will host the </w:t>
      </w:r>
      <w:r w:rsidRPr="0033198D">
        <w:rPr>
          <w:b/>
          <w:bCs/>
        </w:rPr>
        <w:t>Sustainability District</w:t>
      </w:r>
      <w:r w:rsidRPr="0033198D">
        <w:t xml:space="preserve">, </w:t>
      </w:r>
      <w:proofErr w:type="gramStart"/>
      <w:r w:rsidRPr="0033198D">
        <w:t>promoting</w:t>
      </w:r>
      <w:proofErr w:type="gramEnd"/>
      <w:r w:rsidRPr="0033198D">
        <w:t xml:space="preserve"> sustainable practices and offering an in-depth look at the </w:t>
      </w:r>
      <w:r w:rsidRPr="0033198D">
        <w:rPr>
          <w:b/>
          <w:bCs/>
        </w:rPr>
        <w:t>coffee</w:t>
      </w:r>
      <w:r w:rsidRPr="0033198D">
        <w:t xml:space="preserve"> and </w:t>
      </w:r>
      <w:r w:rsidRPr="0033198D">
        <w:rPr>
          <w:b/>
          <w:bCs/>
        </w:rPr>
        <w:t>cocoa</w:t>
      </w:r>
      <w:r w:rsidRPr="0033198D">
        <w:t xml:space="preserve"> supply chains, connecting conscious consumers with sustainable producers.</w:t>
      </w:r>
    </w:p>
    <w:p w14:paraId="25D52A8A" w14:textId="77777777" w:rsidR="0033198D" w:rsidRPr="0033198D" w:rsidRDefault="0033198D" w:rsidP="0033198D">
      <w:pPr>
        <w:jc w:val="both"/>
      </w:pPr>
      <w:r w:rsidRPr="0033198D">
        <w:t xml:space="preserve">The </w:t>
      </w:r>
      <w:r w:rsidRPr="0033198D">
        <w:rPr>
          <w:b/>
          <w:bCs/>
        </w:rPr>
        <w:t>Chocolate Hub</w:t>
      </w:r>
      <w:r w:rsidRPr="0033198D">
        <w:t xml:space="preserve"> in </w:t>
      </w:r>
      <w:r w:rsidRPr="0033198D">
        <w:rPr>
          <w:b/>
          <w:bCs/>
        </w:rPr>
        <w:t>Hall B3</w:t>
      </w:r>
      <w:r w:rsidRPr="0033198D">
        <w:t xml:space="preserve"> will feature leading international brands, showcasing the complete chocolate supply chain, from ingredients to processing technologies. </w:t>
      </w:r>
      <w:r w:rsidRPr="0033198D">
        <w:rPr>
          <w:b/>
          <w:bCs/>
        </w:rPr>
        <w:t>Hall C4</w:t>
      </w:r>
      <w:r w:rsidRPr="0033198D">
        <w:t xml:space="preserve"> will host the </w:t>
      </w:r>
      <w:r w:rsidRPr="0033198D">
        <w:rPr>
          <w:b/>
          <w:bCs/>
        </w:rPr>
        <w:t>International Start-up Village</w:t>
      </w:r>
      <w:r w:rsidRPr="0033198D">
        <w:t>, highlighting emerging innovations.</w:t>
      </w:r>
    </w:p>
    <w:p w14:paraId="3585BCD4" w14:textId="77777777" w:rsidR="009124C0" w:rsidRPr="00990766" w:rsidRDefault="009124C0" w:rsidP="009124C0">
      <w:pPr>
        <w:jc w:val="both"/>
      </w:pPr>
    </w:p>
    <w:p w14:paraId="440A86CE" w14:textId="507DE3D3" w:rsidR="00CC0E17" w:rsidRPr="00990766" w:rsidRDefault="00EF1A35" w:rsidP="009124C0">
      <w:pPr>
        <w:jc w:val="both"/>
        <w:rPr>
          <w:b/>
          <w:bCs/>
        </w:rPr>
      </w:pPr>
      <w:r w:rsidRPr="00990766">
        <w:rPr>
          <w:b/>
          <w:bCs/>
        </w:rPr>
        <w:t>The A</w:t>
      </w:r>
      <w:r w:rsidR="0033198D" w:rsidRPr="00990766">
        <w:rPr>
          <w:b/>
          <w:bCs/>
        </w:rPr>
        <w:t>renas</w:t>
      </w:r>
    </w:p>
    <w:p w14:paraId="3CC392BC" w14:textId="77777777" w:rsidR="0033198D" w:rsidRPr="00990766" w:rsidRDefault="0033198D" w:rsidP="009124C0">
      <w:pPr>
        <w:jc w:val="both"/>
        <w:rPr>
          <w:b/>
          <w:bCs/>
        </w:rPr>
      </w:pPr>
    </w:p>
    <w:p w14:paraId="66A9D7BF" w14:textId="59C337D7" w:rsidR="009124C0" w:rsidRPr="00990766" w:rsidRDefault="0033198D" w:rsidP="009124C0">
      <w:pPr>
        <w:jc w:val="both"/>
      </w:pPr>
      <w:r w:rsidRPr="00990766">
        <w:rPr>
          <w:b/>
          <w:bCs/>
        </w:rPr>
        <w:t>Gelato Arena (Hall A7):</w:t>
      </w:r>
      <w:r w:rsidRPr="00990766">
        <w:t xml:space="preserve"> hosts the industry’s most important talks and major international competitions, including the Gelato World Cup.</w:t>
      </w:r>
    </w:p>
    <w:p w14:paraId="1CC6A636" w14:textId="77777777" w:rsidR="009124C0" w:rsidRPr="00990766" w:rsidRDefault="009124C0" w:rsidP="009124C0">
      <w:pPr>
        <w:jc w:val="both"/>
      </w:pPr>
    </w:p>
    <w:p w14:paraId="0BE327B5" w14:textId="18160D25" w:rsidR="009124C0" w:rsidRPr="00990766" w:rsidRDefault="0033198D" w:rsidP="009124C0">
      <w:pPr>
        <w:jc w:val="both"/>
      </w:pPr>
      <w:r w:rsidRPr="00990766">
        <w:rPr>
          <w:b/>
          <w:bCs/>
        </w:rPr>
        <w:t>Pastry Arena (Hall B5):</w:t>
      </w:r>
      <w:r w:rsidRPr="00990766">
        <w:t xml:space="preserve"> dedicated to high-level pastry-making, including the </w:t>
      </w:r>
      <w:proofErr w:type="spellStart"/>
      <w:r w:rsidRPr="00990766">
        <w:t>Juniores</w:t>
      </w:r>
      <w:proofErr w:type="spellEnd"/>
      <w:r w:rsidRPr="00990766">
        <w:t xml:space="preserve"> Pastry World Cup, featuring 14 teams worldwide.</w:t>
      </w:r>
    </w:p>
    <w:p w14:paraId="54154EFA" w14:textId="77777777" w:rsidR="0056679B" w:rsidRPr="00990766" w:rsidRDefault="0056679B" w:rsidP="009124C0">
      <w:pPr>
        <w:jc w:val="both"/>
      </w:pPr>
    </w:p>
    <w:p w14:paraId="0B48A13B" w14:textId="477830FF" w:rsidR="007D5A99" w:rsidRPr="00990766" w:rsidRDefault="00EF1A35" w:rsidP="007D5A99">
      <w:pPr>
        <w:jc w:val="both"/>
        <w:rPr>
          <w:color w:val="000000"/>
        </w:rPr>
      </w:pPr>
      <w:r w:rsidRPr="00990766">
        <w:rPr>
          <w:b/>
          <w:bCs/>
          <w:color w:val="000000"/>
        </w:rPr>
        <w:t>Pizza Arena (Hall D6):</w:t>
      </w:r>
      <w:r w:rsidRPr="00990766">
        <w:rPr>
          <w:color w:val="000000"/>
        </w:rPr>
        <w:t xml:space="preserve"> hosts </w:t>
      </w:r>
      <w:r w:rsidRPr="00990766">
        <w:rPr>
          <w:b/>
          <w:bCs/>
          <w:color w:val="000000"/>
        </w:rPr>
        <w:t xml:space="preserve">Pizza Senza </w:t>
      </w:r>
      <w:proofErr w:type="spellStart"/>
      <w:r w:rsidRPr="00990766">
        <w:rPr>
          <w:b/>
          <w:bCs/>
          <w:color w:val="000000"/>
        </w:rPr>
        <w:t>Frontiere</w:t>
      </w:r>
      <w:proofErr w:type="spellEnd"/>
      <w:r w:rsidRPr="00990766">
        <w:rPr>
          <w:b/>
          <w:bCs/>
          <w:color w:val="000000"/>
        </w:rPr>
        <w:t>: World Pizza Champion Games</w:t>
      </w:r>
      <w:r w:rsidRPr="00990766">
        <w:rPr>
          <w:color w:val="000000"/>
        </w:rPr>
        <w:t xml:space="preserve">, with </w:t>
      </w:r>
      <w:r w:rsidRPr="00990766">
        <w:rPr>
          <w:b/>
          <w:bCs/>
          <w:color w:val="000000"/>
        </w:rPr>
        <w:t>17 categories</w:t>
      </w:r>
      <w:r w:rsidRPr="00990766">
        <w:rPr>
          <w:color w:val="000000"/>
        </w:rPr>
        <w:t xml:space="preserve"> celebrating Italy’s iconic dish.</w:t>
      </w:r>
    </w:p>
    <w:p w14:paraId="327793F5" w14:textId="77777777" w:rsidR="0056679B" w:rsidRPr="00990766" w:rsidRDefault="0056679B" w:rsidP="007D5A99">
      <w:pPr>
        <w:jc w:val="both"/>
        <w:rPr>
          <w:color w:val="000000"/>
        </w:rPr>
      </w:pPr>
    </w:p>
    <w:p w14:paraId="6A6D6B80" w14:textId="31D015A9" w:rsidR="0056679B" w:rsidRPr="00990766" w:rsidRDefault="00EF1A35" w:rsidP="5DB6121C">
      <w:pPr>
        <w:jc w:val="both"/>
        <w:rPr>
          <w:color w:val="000000" w:themeColor="text1"/>
        </w:rPr>
      </w:pPr>
      <w:r w:rsidRPr="00990766">
        <w:rPr>
          <w:b/>
          <w:bCs/>
          <w:color w:val="000000" w:themeColor="text1"/>
        </w:rPr>
        <w:t>Bakery Arena (Hall D8):</w:t>
      </w:r>
      <w:r w:rsidRPr="00990766">
        <w:rPr>
          <w:color w:val="000000" w:themeColor="text1"/>
        </w:rPr>
        <w:t xml:space="preserve"> showcases artisanal bread by international masters and introduces the National White Art Competition.</w:t>
      </w:r>
    </w:p>
    <w:p w14:paraId="2477062D" w14:textId="77777777" w:rsidR="009124C0" w:rsidRPr="00990766" w:rsidRDefault="009124C0" w:rsidP="009124C0">
      <w:pPr>
        <w:jc w:val="both"/>
      </w:pPr>
    </w:p>
    <w:p w14:paraId="365F73BF" w14:textId="70EF41B8" w:rsidR="009124C0" w:rsidRPr="00990766" w:rsidRDefault="00EF1A35" w:rsidP="0056679B">
      <w:pPr>
        <w:jc w:val="both"/>
        <w:rPr>
          <w:color w:val="000000"/>
        </w:rPr>
      </w:pPr>
      <w:r w:rsidRPr="00990766">
        <w:rPr>
          <w:b/>
          <w:bCs/>
          <w:color w:val="000000"/>
        </w:rPr>
        <w:t>Coffee Arena (Hall A1):</w:t>
      </w:r>
      <w:r w:rsidRPr="00990766">
        <w:rPr>
          <w:color w:val="000000"/>
        </w:rPr>
        <w:t xml:space="preserve"> hosting the Italian finals of the </w:t>
      </w:r>
      <w:r w:rsidRPr="00990766">
        <w:rPr>
          <w:b/>
          <w:bCs/>
          <w:color w:val="000000"/>
        </w:rPr>
        <w:t>Italian Barista and Coffee Championship (CIBC)</w:t>
      </w:r>
      <w:r w:rsidRPr="00990766">
        <w:rPr>
          <w:color w:val="000000"/>
        </w:rPr>
        <w:t xml:space="preserve">, the </w:t>
      </w:r>
      <w:r w:rsidRPr="00990766">
        <w:rPr>
          <w:b/>
          <w:bCs/>
          <w:color w:val="000000"/>
        </w:rPr>
        <w:t>Italian Latte Art Championship (CILA)</w:t>
      </w:r>
      <w:r w:rsidRPr="00990766">
        <w:rPr>
          <w:color w:val="000000"/>
        </w:rPr>
        <w:t xml:space="preserve">, the </w:t>
      </w:r>
      <w:r w:rsidRPr="00990766">
        <w:rPr>
          <w:b/>
          <w:bCs/>
          <w:color w:val="000000"/>
        </w:rPr>
        <w:t>Italian Coffee in Good Spirits Championship (CIGS)</w:t>
      </w:r>
      <w:r w:rsidRPr="00990766">
        <w:rPr>
          <w:color w:val="000000"/>
        </w:rPr>
        <w:t xml:space="preserve">, the </w:t>
      </w:r>
      <w:r w:rsidRPr="00990766">
        <w:rPr>
          <w:b/>
          <w:bCs/>
          <w:color w:val="000000"/>
        </w:rPr>
        <w:t>Italian Brewers Cup Championship</w:t>
      </w:r>
      <w:r w:rsidRPr="00990766">
        <w:rPr>
          <w:color w:val="000000"/>
        </w:rPr>
        <w:t xml:space="preserve">, the </w:t>
      </w:r>
      <w:r w:rsidRPr="00990766">
        <w:rPr>
          <w:b/>
          <w:bCs/>
          <w:color w:val="000000"/>
        </w:rPr>
        <w:t>Italian Cup Tasters Championship</w:t>
      </w:r>
      <w:r w:rsidRPr="00990766">
        <w:rPr>
          <w:color w:val="000000"/>
        </w:rPr>
        <w:t xml:space="preserve">, the </w:t>
      </w:r>
      <w:r w:rsidRPr="00990766">
        <w:rPr>
          <w:b/>
          <w:bCs/>
          <w:color w:val="000000"/>
        </w:rPr>
        <w:t>Italian Coffee Roasting Championship</w:t>
      </w:r>
      <w:r w:rsidRPr="00990766">
        <w:rPr>
          <w:color w:val="000000"/>
        </w:rPr>
        <w:t xml:space="preserve">, and the </w:t>
      </w:r>
      <w:r w:rsidRPr="00990766">
        <w:rPr>
          <w:b/>
          <w:bCs/>
          <w:color w:val="000000"/>
        </w:rPr>
        <w:t>Italian Cezve/Ibrik Championship</w:t>
      </w:r>
      <w:r w:rsidRPr="00990766">
        <w:rPr>
          <w:color w:val="000000"/>
        </w:rPr>
        <w:t>.</w:t>
      </w:r>
    </w:p>
    <w:p w14:paraId="03B43607" w14:textId="77777777" w:rsidR="0056679B" w:rsidRPr="00990766" w:rsidRDefault="0056679B" w:rsidP="0056679B">
      <w:pPr>
        <w:jc w:val="both"/>
        <w:rPr>
          <w:color w:val="000000"/>
        </w:rPr>
      </w:pPr>
    </w:p>
    <w:p w14:paraId="2713ECE5" w14:textId="77777777" w:rsidR="0056679B" w:rsidRPr="00990766" w:rsidRDefault="0056679B" w:rsidP="0056679B">
      <w:pPr>
        <w:contextualSpacing/>
        <w:jc w:val="both"/>
      </w:pPr>
    </w:p>
    <w:p w14:paraId="4273D7AC" w14:textId="58866D21" w:rsidR="0056679B" w:rsidRPr="00990766" w:rsidRDefault="0056679B" w:rsidP="0056679B">
      <w:pPr>
        <w:rPr>
          <w:sz w:val="20"/>
          <w:szCs w:val="20"/>
        </w:rPr>
      </w:pPr>
      <w:r w:rsidRPr="00990766">
        <w:rPr>
          <w:b/>
          <w:bCs/>
          <w:sz w:val="20"/>
          <w:szCs w:val="20"/>
        </w:rPr>
        <w:t>ITALIAN EXHIBITION GROUP</w:t>
      </w:r>
      <w:r w:rsidRPr="00990766">
        <w:rPr>
          <w:sz w:val="20"/>
          <w:szCs w:val="20"/>
        </w:rPr>
        <w:t xml:space="preserve"> </w:t>
      </w:r>
      <w:r w:rsidR="00990766" w:rsidRPr="00990766">
        <w:rPr>
          <w:b/>
          <w:bCs/>
          <w:sz w:val="20"/>
          <w:szCs w:val="20"/>
        </w:rPr>
        <w:t>PRESS CONTACTS</w:t>
      </w:r>
      <w:r w:rsidRPr="00990766">
        <w:rPr>
          <w:sz w:val="20"/>
          <w:szCs w:val="20"/>
        </w:rPr>
        <w:t xml:space="preserve">| </w:t>
      </w:r>
      <w:hyperlink r:id="rId11" w:history="1">
        <w:r w:rsidRPr="00990766">
          <w:rPr>
            <w:rStyle w:val="Collegamentoipertestuale"/>
            <w:sz w:val="20"/>
            <w:szCs w:val="20"/>
          </w:rPr>
          <w:t>media@iegexpo.it</w:t>
        </w:r>
      </w:hyperlink>
      <w:r w:rsidRPr="00990766">
        <w:rPr>
          <w:sz w:val="20"/>
          <w:szCs w:val="20"/>
        </w:rPr>
        <w:br/>
      </w:r>
      <w:r w:rsidRPr="00990766">
        <w:rPr>
          <w:b/>
          <w:bCs/>
          <w:sz w:val="20"/>
          <w:szCs w:val="20"/>
        </w:rPr>
        <w:t>head of corporate communication &amp; media relation</w:t>
      </w:r>
      <w:r w:rsidRPr="00990766">
        <w:rPr>
          <w:sz w:val="20"/>
          <w:szCs w:val="20"/>
        </w:rPr>
        <w:t xml:space="preserve">: Elisabetta Vitali| </w:t>
      </w:r>
      <w:r w:rsidRPr="00990766">
        <w:rPr>
          <w:sz w:val="20"/>
          <w:szCs w:val="20"/>
        </w:rPr>
        <w:br/>
      </w:r>
      <w:r w:rsidRPr="00990766">
        <w:rPr>
          <w:b/>
          <w:bCs/>
          <w:sz w:val="20"/>
          <w:szCs w:val="20"/>
        </w:rPr>
        <w:t>press office manager</w:t>
      </w:r>
      <w:r w:rsidRPr="00990766">
        <w:rPr>
          <w:sz w:val="20"/>
          <w:szCs w:val="20"/>
        </w:rPr>
        <w:t xml:space="preserve">: Marco Forcellini, Pier Francesco Bellini | </w:t>
      </w:r>
      <w:r w:rsidRPr="00990766">
        <w:rPr>
          <w:b/>
          <w:bCs/>
          <w:sz w:val="20"/>
          <w:szCs w:val="20"/>
        </w:rPr>
        <w:t>international press office coordinator</w:t>
      </w:r>
      <w:r w:rsidRPr="00990766">
        <w:rPr>
          <w:sz w:val="20"/>
          <w:szCs w:val="20"/>
        </w:rPr>
        <w:t xml:space="preserve">: Silvia Giorgi | </w:t>
      </w:r>
      <w:r w:rsidRPr="00990766">
        <w:rPr>
          <w:b/>
          <w:bCs/>
          <w:sz w:val="20"/>
          <w:szCs w:val="20"/>
        </w:rPr>
        <w:t>press office coordinator</w:t>
      </w:r>
      <w:r w:rsidRPr="00990766">
        <w:rPr>
          <w:sz w:val="20"/>
          <w:szCs w:val="20"/>
        </w:rPr>
        <w:t xml:space="preserve">: Luca Paganin | </w:t>
      </w:r>
      <w:r w:rsidRPr="00990766">
        <w:rPr>
          <w:b/>
          <w:bCs/>
          <w:sz w:val="20"/>
          <w:szCs w:val="20"/>
        </w:rPr>
        <w:t>press office specialist</w:t>
      </w:r>
      <w:r w:rsidRPr="00990766">
        <w:rPr>
          <w:sz w:val="20"/>
          <w:szCs w:val="20"/>
        </w:rPr>
        <w:t>: Nicoletta Evangelisti, Mirko Malgieri</w:t>
      </w:r>
    </w:p>
    <w:p w14:paraId="7125AA16" w14:textId="77777777" w:rsidR="0056679B" w:rsidRPr="00990766" w:rsidRDefault="0056679B" w:rsidP="0056679B">
      <w:pPr>
        <w:pStyle w:val="Nessunaspaziatura"/>
        <w:rPr>
          <w:rFonts w:ascii="Calibri" w:hAnsi="Calibri" w:cs="Calibri"/>
          <w:b/>
          <w:bCs/>
          <w:sz w:val="20"/>
          <w:szCs w:val="20"/>
          <w:lang w:val="en-GB"/>
        </w:rPr>
      </w:pPr>
      <w:r w:rsidRPr="00990766">
        <w:rPr>
          <w:rFonts w:ascii="Calibri" w:hAnsi="Calibri" w:cs="Calibri"/>
          <w:b/>
          <w:bCs/>
          <w:spacing w:val="-1"/>
          <w:sz w:val="20"/>
          <w:szCs w:val="20"/>
          <w:lang w:val="en-GB"/>
        </w:rPr>
        <w:t>MEDIA</w:t>
      </w:r>
      <w:r w:rsidRPr="00990766">
        <w:rPr>
          <w:rFonts w:ascii="Calibri" w:hAnsi="Calibri" w:cs="Calibri"/>
          <w:b/>
          <w:bCs/>
          <w:spacing w:val="-10"/>
          <w:sz w:val="20"/>
          <w:szCs w:val="20"/>
          <w:lang w:val="en-GB"/>
        </w:rPr>
        <w:t xml:space="preserve"> </w:t>
      </w:r>
      <w:r w:rsidRPr="00990766">
        <w:rPr>
          <w:rFonts w:ascii="Calibri" w:hAnsi="Calibri" w:cs="Calibri"/>
          <w:b/>
          <w:bCs/>
          <w:spacing w:val="-1"/>
          <w:sz w:val="20"/>
          <w:szCs w:val="20"/>
          <w:lang w:val="en-GB"/>
        </w:rPr>
        <w:t>AGENCY SIGEP World:</w:t>
      </w:r>
      <w:r w:rsidRPr="00990766">
        <w:rPr>
          <w:rFonts w:ascii="Calibri" w:hAnsi="Calibri" w:cs="Calibri"/>
          <w:b/>
          <w:bCs/>
          <w:spacing w:val="-6"/>
          <w:sz w:val="20"/>
          <w:szCs w:val="20"/>
          <w:lang w:val="en-GB"/>
        </w:rPr>
        <w:t xml:space="preserve"> </w:t>
      </w:r>
      <w:r w:rsidRPr="00990766">
        <w:rPr>
          <w:rFonts w:ascii="Calibri" w:hAnsi="Calibri" w:cs="Calibri"/>
          <w:b/>
          <w:bCs/>
          <w:sz w:val="20"/>
          <w:szCs w:val="20"/>
          <w:lang w:val="en-GB"/>
        </w:rPr>
        <w:t xml:space="preserve">Mind </w:t>
      </w:r>
      <w:proofErr w:type="gramStart"/>
      <w:r w:rsidRPr="00990766">
        <w:rPr>
          <w:rFonts w:ascii="Calibri" w:hAnsi="Calibri" w:cs="Calibri"/>
          <w:b/>
          <w:bCs/>
          <w:sz w:val="20"/>
          <w:szCs w:val="20"/>
          <w:lang w:val="en-GB"/>
        </w:rPr>
        <w:t>The</w:t>
      </w:r>
      <w:proofErr w:type="gramEnd"/>
      <w:r w:rsidRPr="00990766">
        <w:rPr>
          <w:rFonts w:ascii="Calibri" w:hAnsi="Calibri" w:cs="Calibri"/>
          <w:b/>
          <w:bCs/>
          <w:sz w:val="20"/>
          <w:szCs w:val="20"/>
          <w:lang w:val="en-GB"/>
        </w:rPr>
        <w:t xml:space="preserve"> Pop</w:t>
      </w:r>
    </w:p>
    <w:p w14:paraId="4CFB0E92" w14:textId="77777777" w:rsidR="0056679B" w:rsidRPr="00990766" w:rsidRDefault="0056679B" w:rsidP="0056679B">
      <w:pPr>
        <w:pStyle w:val="Nessunaspaziatura"/>
        <w:rPr>
          <w:rFonts w:ascii="Calibri" w:hAnsi="Calibri" w:cs="Calibri"/>
          <w:sz w:val="20"/>
          <w:szCs w:val="20"/>
          <w:lang w:val="en-GB"/>
        </w:rPr>
      </w:pPr>
      <w:r w:rsidRPr="0089108C">
        <w:rPr>
          <w:rFonts w:ascii="Calibri" w:hAnsi="Calibri" w:cs="Calibri"/>
          <w:sz w:val="20"/>
          <w:szCs w:val="20"/>
        </w:rPr>
        <w:lastRenderedPageBreak/>
        <w:t xml:space="preserve">Martina Vacca: </w:t>
      </w:r>
      <w:r>
        <w:fldChar w:fldCharType="begin"/>
      </w:r>
      <w:r>
        <w:instrText>HYPERLINK "mailto:martina@mindthepop.it"</w:instrText>
      </w:r>
      <w:r>
        <w:fldChar w:fldCharType="separate"/>
      </w:r>
      <w:r w:rsidRPr="0089108C">
        <w:rPr>
          <w:rStyle w:val="Collegamentoipertestuale"/>
          <w:rFonts w:ascii="Calibri" w:hAnsi="Calibri" w:cs="Calibri"/>
          <w:sz w:val="20"/>
          <w:szCs w:val="20"/>
        </w:rPr>
        <w:t>martina@mindthepop.it</w:t>
      </w:r>
      <w:r>
        <w:fldChar w:fldCharType="end"/>
      </w:r>
      <w:r w:rsidRPr="0089108C">
        <w:rPr>
          <w:rFonts w:ascii="Calibri" w:hAnsi="Calibri" w:cs="Calibri"/>
          <w:sz w:val="20"/>
          <w:szCs w:val="20"/>
        </w:rPr>
        <w:t xml:space="preserve">, mob. +39 339 748 5994; Fabrizio Raimondi: </w:t>
      </w:r>
      <w:r>
        <w:fldChar w:fldCharType="begin"/>
      </w:r>
      <w:r>
        <w:instrText>HYPERLINK "mailto:fabrizio@mindthepop.it"</w:instrText>
      </w:r>
      <w:r>
        <w:fldChar w:fldCharType="separate"/>
      </w:r>
      <w:r w:rsidRPr="0089108C">
        <w:rPr>
          <w:rStyle w:val="Collegamentoipertestuale"/>
          <w:rFonts w:ascii="Calibri" w:hAnsi="Calibri" w:cs="Calibri"/>
          <w:sz w:val="20"/>
          <w:szCs w:val="20"/>
        </w:rPr>
        <w:t>fabrizio@mindthepop.it</w:t>
      </w:r>
      <w:r>
        <w:fldChar w:fldCharType="end"/>
      </w:r>
      <w:r w:rsidRPr="0089108C">
        <w:rPr>
          <w:rFonts w:ascii="Calibri" w:hAnsi="Calibri" w:cs="Calibri"/>
          <w:sz w:val="20"/>
          <w:szCs w:val="20"/>
        </w:rPr>
        <w:t xml:space="preserve">, mob. +39 335 389 848; Benedetto Colli: </w:t>
      </w:r>
      <w:r>
        <w:fldChar w:fldCharType="begin"/>
      </w:r>
      <w:r>
        <w:instrText>HYPERLINK "mailto:benedetto@mindthepop.it"</w:instrText>
      </w:r>
      <w:r>
        <w:fldChar w:fldCharType="separate"/>
      </w:r>
      <w:r w:rsidRPr="0089108C">
        <w:rPr>
          <w:rStyle w:val="Collegamentoipertestuale"/>
          <w:rFonts w:ascii="Calibri" w:hAnsi="Calibri" w:cs="Calibri"/>
          <w:sz w:val="20"/>
          <w:szCs w:val="20"/>
        </w:rPr>
        <w:t>benedetto@mindthepop.it</w:t>
      </w:r>
      <w:r>
        <w:fldChar w:fldCharType="end"/>
      </w:r>
      <w:r w:rsidRPr="0089108C">
        <w:rPr>
          <w:rFonts w:ascii="Calibri" w:hAnsi="Calibri" w:cs="Calibri"/>
          <w:sz w:val="20"/>
          <w:szCs w:val="20"/>
        </w:rPr>
        <w:t xml:space="preserve">, mob. 380 371 2272; Stefano Chiossi: </w:t>
      </w:r>
      <w:r>
        <w:fldChar w:fldCharType="begin"/>
      </w:r>
      <w:r>
        <w:instrText>HYPERLINK "mailto:stefano@mindthepop.it"</w:instrText>
      </w:r>
      <w:r>
        <w:fldChar w:fldCharType="separate"/>
      </w:r>
      <w:r w:rsidRPr="0089108C">
        <w:rPr>
          <w:rStyle w:val="Collegamentoipertestuale"/>
          <w:rFonts w:ascii="Calibri" w:hAnsi="Calibri" w:cs="Calibri"/>
          <w:sz w:val="20"/>
          <w:szCs w:val="20"/>
        </w:rPr>
        <w:t>stefano@mindthepop.it</w:t>
      </w:r>
      <w:r>
        <w:fldChar w:fldCharType="end"/>
      </w:r>
      <w:r w:rsidRPr="0089108C">
        <w:rPr>
          <w:rFonts w:ascii="Calibri" w:hAnsi="Calibri" w:cs="Calibri"/>
          <w:sz w:val="20"/>
          <w:szCs w:val="20"/>
        </w:rPr>
        <w:t xml:space="preserve">, mob. </w:t>
      </w:r>
      <w:r w:rsidRPr="00990766">
        <w:rPr>
          <w:rFonts w:ascii="Calibri" w:hAnsi="Calibri" w:cs="Calibri"/>
          <w:sz w:val="20"/>
          <w:szCs w:val="20"/>
          <w:lang w:val="en-GB"/>
        </w:rPr>
        <w:t>+ 39 388 739 4358.</w:t>
      </w:r>
    </w:p>
    <w:p w14:paraId="566AC530" w14:textId="77777777" w:rsidR="0056679B" w:rsidRPr="00990766" w:rsidRDefault="0056679B" w:rsidP="0056679B">
      <w:pPr>
        <w:pStyle w:val="Nessunaspaziatura"/>
        <w:rPr>
          <w:rFonts w:ascii="Calibri" w:hAnsi="Calibri" w:cs="Calibri"/>
          <w:b/>
          <w:bCs/>
          <w:sz w:val="20"/>
          <w:szCs w:val="20"/>
          <w:lang w:val="en-GB"/>
        </w:rPr>
      </w:pPr>
    </w:p>
    <w:p w14:paraId="0AA3016A" w14:textId="77777777" w:rsidR="0089108C" w:rsidRPr="0003774E" w:rsidRDefault="0089108C" w:rsidP="0089108C">
      <w:pPr>
        <w:pStyle w:val="Nessunaspaziatura"/>
        <w:ind w:left="-284"/>
        <w:mirrorIndents/>
        <w:rPr>
          <w:rFonts w:ascii="Calibri" w:hAnsi="Calibri" w:cs="Calibri"/>
          <w:b/>
          <w:bCs/>
          <w:sz w:val="20"/>
          <w:szCs w:val="20"/>
        </w:rPr>
      </w:pPr>
    </w:p>
    <w:p w14:paraId="2A7A00EC" w14:textId="77777777" w:rsidR="0089108C" w:rsidRPr="006317B6" w:rsidRDefault="0089108C" w:rsidP="0089108C">
      <w:pPr>
        <w:pStyle w:val="Nessunaspaziatura"/>
        <w:rPr>
          <w:rFonts w:ascii="Calibri" w:hAnsi="Calibri" w:cs="Calibri"/>
          <w:b/>
          <w:bCs/>
          <w:sz w:val="20"/>
          <w:szCs w:val="20"/>
          <w:lang w:val="en-GB"/>
        </w:rPr>
      </w:pPr>
    </w:p>
    <w:p w14:paraId="2582272B" w14:textId="77777777" w:rsidR="0089108C" w:rsidRPr="005C774A" w:rsidRDefault="0089108C" w:rsidP="0089108C">
      <w:pPr>
        <w:spacing w:before="1"/>
        <w:jc w:val="both"/>
        <w:rPr>
          <w:rFonts w:ascii="Aptos" w:eastAsia="Aptos" w:hAnsi="Aptos"/>
          <w:sz w:val="20"/>
          <w:szCs w:val="20"/>
        </w:rPr>
      </w:pPr>
      <w:r w:rsidRPr="005C774A">
        <w:rPr>
          <w:rFonts w:ascii="Aptos" w:eastAsia="Aptos" w:hAnsi="Aptos"/>
          <w:noProof/>
        </w:rPr>
        <w:drawing>
          <wp:inline distT="0" distB="0" distL="0" distR="0" wp14:anchorId="4996EDAA" wp14:editId="3E287B82">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D255066" w14:textId="77777777" w:rsidR="0089108C" w:rsidRPr="005C774A" w:rsidRDefault="0089108C" w:rsidP="0089108C">
      <w:pPr>
        <w:spacing w:before="1"/>
        <w:jc w:val="both"/>
        <w:rPr>
          <w:rFonts w:ascii="Aptos" w:eastAsia="Aptos" w:hAnsi="Aptos"/>
          <w:sz w:val="20"/>
          <w:szCs w:val="20"/>
        </w:rPr>
      </w:pPr>
    </w:p>
    <w:p w14:paraId="6B8A203C" w14:textId="77777777" w:rsidR="0089108C" w:rsidRPr="005C774A" w:rsidRDefault="0089108C" w:rsidP="0089108C">
      <w:pPr>
        <w:spacing w:before="1"/>
        <w:jc w:val="both"/>
        <w:rPr>
          <w:rFonts w:ascii="Aptos" w:eastAsia="Aptos" w:hAnsi="Aptos"/>
          <w:sz w:val="20"/>
          <w:szCs w:val="20"/>
        </w:rPr>
      </w:pPr>
    </w:p>
    <w:p w14:paraId="2D038D11" w14:textId="77777777" w:rsidR="0089108C" w:rsidRPr="005C774A" w:rsidRDefault="0089108C" w:rsidP="0089108C">
      <w:pPr>
        <w:spacing w:before="1"/>
        <w:jc w:val="both"/>
        <w:rPr>
          <w:rFonts w:eastAsia="Aptos"/>
          <w:sz w:val="20"/>
          <w:szCs w:val="20"/>
        </w:rPr>
      </w:pPr>
      <w:r w:rsidRPr="005C774A">
        <w:rPr>
          <w:rFonts w:eastAsia="Aptos"/>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eastAsia="Aptos"/>
          <w:sz w:val="20"/>
          <w:szCs w:val="20"/>
        </w:rPr>
        <w:t>doe</w:t>
      </w:r>
      <w:proofErr w:type="spellEnd"/>
      <w:r w:rsidRPr="005C774A">
        <w:rPr>
          <w:rFonts w:eastAsia="Aptos"/>
          <w:sz w:val="20"/>
          <w:szCs w:val="20"/>
        </w:rPr>
        <w:t xml:space="preserve"> not claim to be complete, and has not been verified by independent third parties. Forecasts, estimates and objectives contained herein are based on the information available to the Company as at the date of this release.</w:t>
      </w:r>
    </w:p>
    <w:p w14:paraId="7C4794F9" w14:textId="77777777" w:rsidR="0089108C" w:rsidRPr="00BC0F28" w:rsidRDefault="0089108C" w:rsidP="0089108C">
      <w:pPr>
        <w:ind w:left="-284"/>
        <w:jc w:val="both"/>
      </w:pPr>
    </w:p>
    <w:p w14:paraId="612AFF74" w14:textId="77777777" w:rsidR="0089108C" w:rsidRPr="001F59BC" w:rsidRDefault="0089108C" w:rsidP="0089108C"/>
    <w:p w14:paraId="37CBF8C8" w14:textId="77777777" w:rsidR="0056679B" w:rsidRPr="00990766" w:rsidRDefault="0056679B" w:rsidP="0056679B">
      <w:pPr>
        <w:jc w:val="both"/>
      </w:pPr>
    </w:p>
    <w:sectPr w:rsidR="0056679B" w:rsidRPr="00990766">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320D" w14:textId="77777777" w:rsidR="00511A79" w:rsidRDefault="00511A79" w:rsidP="0056679B">
      <w:r>
        <w:separator/>
      </w:r>
    </w:p>
  </w:endnote>
  <w:endnote w:type="continuationSeparator" w:id="0">
    <w:p w14:paraId="2EF56AD7" w14:textId="77777777" w:rsidR="00511A79" w:rsidRDefault="00511A79" w:rsidP="0056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B846" w14:textId="77777777" w:rsidR="00511A79" w:rsidRDefault="00511A79" w:rsidP="0056679B">
      <w:r>
        <w:separator/>
      </w:r>
    </w:p>
  </w:footnote>
  <w:footnote w:type="continuationSeparator" w:id="0">
    <w:p w14:paraId="6F0AFA71" w14:textId="77777777" w:rsidR="00511A79" w:rsidRDefault="00511A79" w:rsidP="0056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F7E2" w14:textId="585998D6" w:rsidR="0056679B" w:rsidRDefault="0056679B" w:rsidP="0056679B">
    <w:pPr>
      <w:pStyle w:val="Intestazione"/>
      <w:jc w:val="center"/>
    </w:pPr>
    <w:r>
      <w:rPr>
        <w:noProof/>
      </w:rPr>
      <w:drawing>
        <wp:inline distT="0" distB="0" distL="0" distR="0" wp14:anchorId="004936FF" wp14:editId="5F84CB18">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45F25356" w14:textId="77777777" w:rsidR="0056679B" w:rsidRDefault="005667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0F2D"/>
    <w:multiLevelType w:val="hybridMultilevel"/>
    <w:tmpl w:val="ACA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40EC4"/>
    <w:multiLevelType w:val="hybridMultilevel"/>
    <w:tmpl w:val="11C86FF6"/>
    <w:lvl w:ilvl="0" w:tplc="767279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E7933"/>
    <w:multiLevelType w:val="hybridMultilevel"/>
    <w:tmpl w:val="DBF6FF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4382306">
    <w:abstractNumId w:val="0"/>
  </w:num>
  <w:num w:numId="2" w16cid:durableId="597831670">
    <w:abstractNumId w:val="1"/>
  </w:num>
  <w:num w:numId="3" w16cid:durableId="1809857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C0"/>
    <w:rsid w:val="001122C6"/>
    <w:rsid w:val="00233952"/>
    <w:rsid w:val="002F57E0"/>
    <w:rsid w:val="0033198D"/>
    <w:rsid w:val="00344575"/>
    <w:rsid w:val="003B6480"/>
    <w:rsid w:val="00425A12"/>
    <w:rsid w:val="00511A79"/>
    <w:rsid w:val="00551F9F"/>
    <w:rsid w:val="0056679B"/>
    <w:rsid w:val="005763B3"/>
    <w:rsid w:val="00584AF5"/>
    <w:rsid w:val="00590306"/>
    <w:rsid w:val="00783A8B"/>
    <w:rsid w:val="007D5A99"/>
    <w:rsid w:val="0086452B"/>
    <w:rsid w:val="00882C3D"/>
    <w:rsid w:val="0089108C"/>
    <w:rsid w:val="0090344A"/>
    <w:rsid w:val="009124C0"/>
    <w:rsid w:val="00981835"/>
    <w:rsid w:val="00990766"/>
    <w:rsid w:val="00994801"/>
    <w:rsid w:val="009D2506"/>
    <w:rsid w:val="00A75159"/>
    <w:rsid w:val="00AD335F"/>
    <w:rsid w:val="00B72812"/>
    <w:rsid w:val="00BA23CC"/>
    <w:rsid w:val="00BB4A03"/>
    <w:rsid w:val="00BF50F7"/>
    <w:rsid w:val="00C01B84"/>
    <w:rsid w:val="00C08341"/>
    <w:rsid w:val="00C414C6"/>
    <w:rsid w:val="00CC0E17"/>
    <w:rsid w:val="00CE270E"/>
    <w:rsid w:val="00D12243"/>
    <w:rsid w:val="00D3017C"/>
    <w:rsid w:val="00EA18A2"/>
    <w:rsid w:val="00ED28F7"/>
    <w:rsid w:val="00EF1A35"/>
    <w:rsid w:val="00F86E10"/>
    <w:rsid w:val="01F9231A"/>
    <w:rsid w:val="061A776A"/>
    <w:rsid w:val="06AC44FD"/>
    <w:rsid w:val="06B763EA"/>
    <w:rsid w:val="09AADC68"/>
    <w:rsid w:val="0AD8EA79"/>
    <w:rsid w:val="0BA30774"/>
    <w:rsid w:val="0E25FCDF"/>
    <w:rsid w:val="0E76C02F"/>
    <w:rsid w:val="113A243D"/>
    <w:rsid w:val="14101F2D"/>
    <w:rsid w:val="15036FF9"/>
    <w:rsid w:val="1525F153"/>
    <w:rsid w:val="172D7B16"/>
    <w:rsid w:val="177A3BC3"/>
    <w:rsid w:val="17E16E68"/>
    <w:rsid w:val="191EBF66"/>
    <w:rsid w:val="1951C2A9"/>
    <w:rsid w:val="19911F1E"/>
    <w:rsid w:val="19F6A406"/>
    <w:rsid w:val="1A96F3EC"/>
    <w:rsid w:val="1B8C7ED2"/>
    <w:rsid w:val="1C230FB0"/>
    <w:rsid w:val="1C6869A2"/>
    <w:rsid w:val="1CFAD28A"/>
    <w:rsid w:val="1D860D93"/>
    <w:rsid w:val="1FF58FD2"/>
    <w:rsid w:val="1FFA1AB9"/>
    <w:rsid w:val="20B22C16"/>
    <w:rsid w:val="21C7ACC9"/>
    <w:rsid w:val="25AA9F73"/>
    <w:rsid w:val="2723568A"/>
    <w:rsid w:val="2817B3FC"/>
    <w:rsid w:val="295A9BA8"/>
    <w:rsid w:val="29EA71B5"/>
    <w:rsid w:val="29EC9304"/>
    <w:rsid w:val="29F800B9"/>
    <w:rsid w:val="2C542BDA"/>
    <w:rsid w:val="2D4FA156"/>
    <w:rsid w:val="2E1BF744"/>
    <w:rsid w:val="30FD0532"/>
    <w:rsid w:val="327E14C8"/>
    <w:rsid w:val="3307C022"/>
    <w:rsid w:val="356BC01B"/>
    <w:rsid w:val="366C747E"/>
    <w:rsid w:val="3781C560"/>
    <w:rsid w:val="381ABFC2"/>
    <w:rsid w:val="39CB1C88"/>
    <w:rsid w:val="3B45C345"/>
    <w:rsid w:val="3BDBA99C"/>
    <w:rsid w:val="3C697F87"/>
    <w:rsid w:val="3CD2C9FB"/>
    <w:rsid w:val="3CEC0BD7"/>
    <w:rsid w:val="419C7756"/>
    <w:rsid w:val="421256A2"/>
    <w:rsid w:val="42513517"/>
    <w:rsid w:val="45F3BA90"/>
    <w:rsid w:val="4B7B6A24"/>
    <w:rsid w:val="4B998937"/>
    <w:rsid w:val="4BE13E03"/>
    <w:rsid w:val="4C74216F"/>
    <w:rsid w:val="4ECD51EB"/>
    <w:rsid w:val="53F4B501"/>
    <w:rsid w:val="55186EB8"/>
    <w:rsid w:val="55357CEB"/>
    <w:rsid w:val="561D0EEF"/>
    <w:rsid w:val="568C2976"/>
    <w:rsid w:val="58FCF120"/>
    <w:rsid w:val="5904540B"/>
    <w:rsid w:val="59972C5D"/>
    <w:rsid w:val="59E29C91"/>
    <w:rsid w:val="5AD3F367"/>
    <w:rsid w:val="5BA0B7FE"/>
    <w:rsid w:val="5CD331F2"/>
    <w:rsid w:val="5D560AAD"/>
    <w:rsid w:val="5DACB6D9"/>
    <w:rsid w:val="5DB6121C"/>
    <w:rsid w:val="5DDE3A1B"/>
    <w:rsid w:val="5DED6468"/>
    <w:rsid w:val="5E2CB222"/>
    <w:rsid w:val="5E9E5186"/>
    <w:rsid w:val="6070A42D"/>
    <w:rsid w:val="60726895"/>
    <w:rsid w:val="607929A6"/>
    <w:rsid w:val="61BA9CD0"/>
    <w:rsid w:val="63612407"/>
    <w:rsid w:val="639A3049"/>
    <w:rsid w:val="640EFAF1"/>
    <w:rsid w:val="66400E59"/>
    <w:rsid w:val="66728E8A"/>
    <w:rsid w:val="66FF4251"/>
    <w:rsid w:val="68835C26"/>
    <w:rsid w:val="6887D4B0"/>
    <w:rsid w:val="695E6278"/>
    <w:rsid w:val="69EF386B"/>
    <w:rsid w:val="6B9A9A76"/>
    <w:rsid w:val="6C63A7E4"/>
    <w:rsid w:val="6D74DF47"/>
    <w:rsid w:val="6EAFE52F"/>
    <w:rsid w:val="6F4BAD87"/>
    <w:rsid w:val="7491522D"/>
    <w:rsid w:val="75B35941"/>
    <w:rsid w:val="760B5296"/>
    <w:rsid w:val="7759ABD1"/>
    <w:rsid w:val="77BEB2FF"/>
    <w:rsid w:val="7A2173BD"/>
    <w:rsid w:val="7B1CB289"/>
    <w:rsid w:val="7B87A00F"/>
    <w:rsid w:val="7BF9AAFC"/>
    <w:rsid w:val="7D67A1B7"/>
    <w:rsid w:val="7EE0BD67"/>
    <w:rsid w:val="7FAE5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02B5"/>
  <w15:chartTrackingRefBased/>
  <w15:docId w15:val="{888A76AB-7F7C-D745-9D84-E05363CB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4C0"/>
    <w:pPr>
      <w:widowControl w:val="0"/>
      <w:autoSpaceDE w:val="0"/>
      <w:autoSpaceDN w:val="0"/>
      <w:spacing w:after="0" w:line="240" w:lineRule="auto"/>
    </w:pPr>
    <w:rPr>
      <w:rFonts w:ascii="Calibri" w:eastAsia="Calibri" w:hAnsi="Calibri" w:cs="Calibri"/>
      <w:kern w:val="0"/>
      <w:sz w:val="22"/>
      <w:szCs w:val="22"/>
      <w:lang w:val="en-GB"/>
      <w14:ligatures w14:val="none"/>
    </w:rPr>
  </w:style>
  <w:style w:type="paragraph" w:styleId="Titolo1">
    <w:name w:val="heading 1"/>
    <w:basedOn w:val="Normale"/>
    <w:next w:val="Normale"/>
    <w:link w:val="Titolo1Carattere"/>
    <w:uiPriority w:val="9"/>
    <w:qFormat/>
    <w:rsid w:val="009124C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124C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124C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124C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9124C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9124C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9124C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9124C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9124C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24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24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24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24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24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24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24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24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24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24C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9124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24C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124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24C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9124C0"/>
    <w:rPr>
      <w:i/>
      <w:iCs/>
      <w:color w:val="404040" w:themeColor="text1" w:themeTint="BF"/>
    </w:rPr>
  </w:style>
  <w:style w:type="paragraph" w:styleId="Paragrafoelenco">
    <w:name w:val="List Paragraph"/>
    <w:basedOn w:val="Normale"/>
    <w:uiPriority w:val="34"/>
    <w:qFormat/>
    <w:rsid w:val="009124C0"/>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9124C0"/>
    <w:rPr>
      <w:i/>
      <w:iCs/>
      <w:color w:val="0F4761" w:themeColor="accent1" w:themeShade="BF"/>
    </w:rPr>
  </w:style>
  <w:style w:type="paragraph" w:styleId="Citazioneintensa">
    <w:name w:val="Intense Quote"/>
    <w:basedOn w:val="Normale"/>
    <w:next w:val="Normale"/>
    <w:link w:val="CitazioneintensaCarattere"/>
    <w:uiPriority w:val="30"/>
    <w:qFormat/>
    <w:rsid w:val="009124C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9124C0"/>
    <w:rPr>
      <w:i/>
      <w:iCs/>
      <w:color w:val="0F4761" w:themeColor="accent1" w:themeShade="BF"/>
    </w:rPr>
  </w:style>
  <w:style w:type="character" w:styleId="Riferimentointenso">
    <w:name w:val="Intense Reference"/>
    <w:basedOn w:val="Carpredefinitoparagrafo"/>
    <w:uiPriority w:val="32"/>
    <w:qFormat/>
    <w:rsid w:val="009124C0"/>
    <w:rPr>
      <w:b/>
      <w:bCs/>
      <w:smallCaps/>
      <w:color w:val="0F4761" w:themeColor="accent1" w:themeShade="BF"/>
      <w:spacing w:val="5"/>
    </w:rPr>
  </w:style>
  <w:style w:type="paragraph" w:styleId="NormaleWeb">
    <w:name w:val="Normal (Web)"/>
    <w:basedOn w:val="Normale"/>
    <w:uiPriority w:val="99"/>
    <w:semiHidden/>
    <w:unhideWhenUsed/>
    <w:rsid w:val="009124C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124C0"/>
    <w:rPr>
      <w:b/>
      <w:bCs/>
    </w:rPr>
  </w:style>
  <w:style w:type="character" w:customStyle="1" w:styleId="apple-converted-space">
    <w:name w:val="apple-converted-space"/>
    <w:basedOn w:val="Carpredefinitoparagrafo"/>
    <w:rsid w:val="009124C0"/>
  </w:style>
  <w:style w:type="paragraph" w:styleId="Intestazione">
    <w:name w:val="header"/>
    <w:basedOn w:val="Normale"/>
    <w:link w:val="IntestazioneCarattere"/>
    <w:uiPriority w:val="99"/>
    <w:unhideWhenUsed/>
    <w:rsid w:val="0056679B"/>
    <w:pPr>
      <w:tabs>
        <w:tab w:val="center" w:pos="4819"/>
        <w:tab w:val="right" w:pos="9638"/>
      </w:tabs>
    </w:pPr>
  </w:style>
  <w:style w:type="character" w:customStyle="1" w:styleId="IntestazioneCarattere">
    <w:name w:val="Intestazione Carattere"/>
    <w:basedOn w:val="Carpredefinitoparagrafo"/>
    <w:link w:val="Intestazione"/>
    <w:uiPriority w:val="99"/>
    <w:rsid w:val="0056679B"/>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56679B"/>
    <w:pPr>
      <w:tabs>
        <w:tab w:val="center" w:pos="4819"/>
        <w:tab w:val="right" w:pos="9638"/>
      </w:tabs>
    </w:pPr>
  </w:style>
  <w:style w:type="character" w:customStyle="1" w:styleId="PidipaginaCarattere">
    <w:name w:val="Piè di pagina Carattere"/>
    <w:basedOn w:val="Carpredefinitoparagrafo"/>
    <w:link w:val="Pidipagina"/>
    <w:uiPriority w:val="99"/>
    <w:rsid w:val="0056679B"/>
    <w:rPr>
      <w:rFonts w:ascii="Calibri" w:eastAsia="Calibri" w:hAnsi="Calibri" w:cs="Calibri"/>
      <w:kern w:val="0"/>
      <w:sz w:val="22"/>
      <w:szCs w:val="22"/>
      <w14:ligatures w14:val="none"/>
    </w:rPr>
  </w:style>
  <w:style w:type="character" w:styleId="Collegamentoipertestuale">
    <w:name w:val="Hyperlink"/>
    <w:uiPriority w:val="99"/>
    <w:unhideWhenUsed/>
    <w:rsid w:val="0056679B"/>
    <w:rPr>
      <w:color w:val="0563C1"/>
      <w:u w:val="single"/>
    </w:rPr>
  </w:style>
  <w:style w:type="paragraph" w:styleId="Nessunaspaziatura">
    <w:name w:val="No Spacing"/>
    <w:uiPriority w:val="1"/>
    <w:qFormat/>
    <w:rsid w:val="0056679B"/>
    <w:pPr>
      <w:spacing w:after="0" w:line="240" w:lineRule="auto"/>
    </w:pPr>
  </w:style>
  <w:style w:type="paragraph" w:styleId="Revisione">
    <w:name w:val="Revision"/>
    <w:hidden/>
    <w:uiPriority w:val="99"/>
    <w:semiHidden/>
    <w:rsid w:val="00233952"/>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B8E51-DE4B-44D4-92C2-A16883831797}">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477B6CFC-D23E-4879-8D35-9BE0849A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3A01D-9EC2-4D38-B339-9E08D31F5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4488</Characters>
  <Application>Microsoft Office Word</Application>
  <DocSecurity>0</DocSecurity>
  <Lines>62</Lines>
  <Paragraphs>18</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dcterms:created xsi:type="dcterms:W3CDTF">2025-12-23T09:49:00Z</dcterms:created>
  <dcterms:modified xsi:type="dcterms:W3CDTF">2025-12-23T09:51:00Z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